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3" w:rsidRDefault="00BC62B3" w:rsidP="00431885">
      <w:pPr>
        <w:jc w:val="both"/>
        <w:rPr>
          <w:noProof/>
        </w:rPr>
      </w:pPr>
      <w:r>
        <w:rPr>
          <w:noProof/>
        </w:rPr>
        <w:t xml:space="preserve">Είναι </w:t>
      </w:r>
      <w:r w:rsidR="009A260B">
        <w:rPr>
          <w:noProof/>
        </w:rPr>
        <w:t>άραγε</w:t>
      </w:r>
      <w:r>
        <w:rPr>
          <w:noProof/>
        </w:rPr>
        <w:t xml:space="preserve"> η πανδημία νόσος των εμβολιασμένων</w:t>
      </w:r>
      <w:r w:rsidRPr="00BC62B3">
        <w:rPr>
          <w:noProof/>
        </w:rPr>
        <w:t>;</w:t>
      </w:r>
    </w:p>
    <w:p w:rsidR="00BC62B3" w:rsidRDefault="00BC62B3" w:rsidP="00431885">
      <w:pPr>
        <w:jc w:val="both"/>
        <w:rPr>
          <w:noProof/>
        </w:rPr>
      </w:pPr>
    </w:p>
    <w:p w:rsidR="00B03B67" w:rsidRDefault="00BC62B3" w:rsidP="00431885">
      <w:pPr>
        <w:jc w:val="both"/>
        <w:rPr>
          <w:noProof/>
        </w:rPr>
      </w:pPr>
      <w:r>
        <w:rPr>
          <w:noProof/>
        </w:rPr>
        <w:t xml:space="preserve">  Το κίνημα των ανε</w:t>
      </w:r>
      <w:r w:rsidR="00C80DF3">
        <w:rPr>
          <w:noProof/>
        </w:rPr>
        <w:t>μ</w:t>
      </w:r>
      <w:r>
        <w:rPr>
          <w:noProof/>
        </w:rPr>
        <w:t xml:space="preserve">βολίαστων συνεχίζει απτόητο το έργο του στη χώρα μας. </w:t>
      </w:r>
      <w:r w:rsidR="00C80DF3">
        <w:rPr>
          <w:noProof/>
        </w:rPr>
        <w:t>Δεν φαίνεται ικανοποιημένο από το ποσοστό τουλάχιστον 30% των συμπολιτών μας που εξακολουθούν να παραμένουν πεισματικά αντίθετοι σε κάθε είδους σκέψη για εμβολιασμό, αλλά συνεχίζει με παραπληροφόρηρση, επιλεκτική παρουσίαση και απόκρυψη αναμφισβήτητων δεδομένων να τροφοδοτεί με υλικό τα μέλη και τους υποστηρικτές του. Αξιοι συμπαραστάτες του σε αυτό μεταξύ άλλων ΜΜΕ που διακριτικά (για να μην χάσουν τους σωστά σκεπτόμενους αναγνώστες τους) φλερτάρουν με τ</w:t>
      </w:r>
      <w:r w:rsidR="00CD2C5D">
        <w:rPr>
          <w:noProof/>
        </w:rPr>
        <w:t>α επιχειρήματα του</w:t>
      </w:r>
      <w:r w:rsidR="00C80DF3">
        <w:rPr>
          <w:noProof/>
        </w:rPr>
        <w:t xml:space="preserve"> η αρέσκονται να μεγαλοποιούν τις σπάνιες παρενέργειες του εμβολιασμού, αγνοώντας την καθημερινή εκατόμβη της πανδημίας. Τελευταία τους επιχείρηση παραπληροφόρησης το καθιερωμένο εβδομαδιαίο δελτίο που εκδίδεται από </w:t>
      </w:r>
      <w:r w:rsidR="00B03B67">
        <w:rPr>
          <w:noProof/>
        </w:rPr>
        <w:t xml:space="preserve">την υπηρεσία </w:t>
      </w:r>
      <w:r w:rsidR="00B03B67">
        <w:rPr>
          <w:noProof/>
          <w:lang w:val="en-US"/>
        </w:rPr>
        <w:t>UKHealthSecurityAgency</w:t>
      </w:r>
      <w:r w:rsidR="00B03B67">
        <w:rPr>
          <w:noProof/>
        </w:rPr>
        <w:t xml:space="preserve">στη Μεγάλη Βρετανία. Σημειωτέον ότι οι Αγγλοσάξονες φημίζονται για τη μεθοδολογία τους στην επιστημονική έρευνα και τη λεπτομερή καταγραφή δεδομένων που επιτρέπουν την ασφαλή εξαγωγή </w:t>
      </w:r>
      <w:r w:rsidR="00307C79">
        <w:rPr>
          <w:noProof/>
        </w:rPr>
        <w:t>τεκμηριωμένων</w:t>
      </w:r>
      <w:r w:rsidR="00B03B67">
        <w:rPr>
          <w:noProof/>
        </w:rPr>
        <w:t xml:space="preserve"> συμπερασμάτων</w:t>
      </w:r>
      <w:r w:rsidR="00307C79">
        <w:rPr>
          <w:noProof/>
        </w:rPr>
        <w:t>.</w:t>
      </w:r>
    </w:p>
    <w:p w:rsidR="00C45BF1" w:rsidRDefault="00B03B67" w:rsidP="00431885">
      <w:pPr>
        <w:jc w:val="both"/>
        <w:rPr>
          <w:noProof/>
        </w:rPr>
      </w:pPr>
      <w:r>
        <w:rPr>
          <w:noProof/>
        </w:rPr>
        <w:t xml:space="preserve">    Τι ακριβώς αναφέρεται στο συγκεκριμένο δελτίο</w:t>
      </w:r>
      <w:r w:rsidRPr="00B03B67">
        <w:rPr>
          <w:noProof/>
        </w:rPr>
        <w:t>;</w:t>
      </w:r>
      <w:r>
        <w:rPr>
          <w:noProof/>
        </w:rPr>
        <w:t xml:space="preserve"> Ότι μεταξύ 36</w:t>
      </w:r>
      <w:r w:rsidRPr="00B03B67">
        <w:rPr>
          <w:noProof/>
          <w:vertAlign w:val="superscript"/>
        </w:rPr>
        <w:t>ης</w:t>
      </w:r>
      <w:r>
        <w:rPr>
          <w:noProof/>
        </w:rPr>
        <w:t xml:space="preserve"> και 39</w:t>
      </w:r>
      <w:r w:rsidRPr="00B03B67">
        <w:rPr>
          <w:noProof/>
          <w:vertAlign w:val="superscript"/>
        </w:rPr>
        <w:t>ης</w:t>
      </w:r>
      <w:r w:rsidR="00431885">
        <w:rPr>
          <w:noProof/>
        </w:rPr>
        <w:t xml:space="preserve">εβδομάδας </w:t>
      </w:r>
      <w:r>
        <w:rPr>
          <w:noProof/>
        </w:rPr>
        <w:t xml:space="preserve">εξέλιξης της πανδημίας στη χώρα τους παρατηρήθηκαν παραπάνω κρούσματα από κορωνοιό σε άτομα που ήταν ήδη εμβολιασμένα σε σχέση με ανεμβολίαστα, στις ηλικίες 30 ετών και άνω (πίνακας1 ). </w:t>
      </w:r>
    </w:p>
    <w:tbl>
      <w:tblPr>
        <w:tblStyle w:val="a3"/>
        <w:tblpPr w:leftFromText="180" w:rightFromText="180" w:vertAnchor="text" w:horzAnchor="margin" w:tblpXSpec="center" w:tblpY="586"/>
        <w:tblW w:w="0" w:type="auto"/>
        <w:tblLook w:val="04A0"/>
      </w:tblPr>
      <w:tblGrid>
        <w:gridCol w:w="3539"/>
        <w:gridCol w:w="3402"/>
      </w:tblGrid>
      <w:tr w:rsidR="00414CD1" w:rsidTr="00414CD1">
        <w:tc>
          <w:tcPr>
            <w:tcW w:w="3539" w:type="dxa"/>
          </w:tcPr>
          <w:p w:rsidR="00414CD1" w:rsidRDefault="00414CD1" w:rsidP="00431885">
            <w:pPr>
              <w:jc w:val="both"/>
            </w:pPr>
            <w:bookmarkStart w:id="0" w:name="_Hlk84933524"/>
            <w:r>
              <w:t>Συχνότητα μεταξύ εμβολιασθέντων</w:t>
            </w:r>
          </w:p>
          <w:p w:rsidR="00414CD1" w:rsidRDefault="00414CD1" w:rsidP="00431885">
            <w:pPr>
              <w:jc w:val="both"/>
            </w:pPr>
            <w:r>
              <w:t xml:space="preserve">      με 2  δόσεις (ανά 100.000)</w:t>
            </w:r>
          </w:p>
        </w:tc>
        <w:tc>
          <w:tcPr>
            <w:tcW w:w="3402" w:type="dxa"/>
          </w:tcPr>
          <w:p w:rsidR="00414CD1" w:rsidRDefault="00414CD1" w:rsidP="00431885">
            <w:pPr>
              <w:jc w:val="both"/>
            </w:pPr>
            <w:r>
              <w:t>Συχνότητα μεταξύ ανεμβολίαστων</w:t>
            </w:r>
          </w:p>
          <w:p w:rsidR="00414CD1" w:rsidRDefault="00414CD1" w:rsidP="00431885">
            <w:pPr>
              <w:jc w:val="both"/>
            </w:pPr>
            <w:r>
              <w:t xml:space="preserve">                  (ανά 100.000)</w:t>
            </w:r>
          </w:p>
        </w:tc>
      </w:tr>
    </w:tbl>
    <w:p w:rsidR="00414CD1" w:rsidRPr="00414CD1" w:rsidRDefault="00414CD1" w:rsidP="00431885">
      <w:pPr>
        <w:jc w:val="both"/>
        <w:rPr>
          <w:noProof/>
        </w:rPr>
      </w:pPr>
      <w:bookmarkStart w:id="1" w:name="_Hlk84933252"/>
      <w:bookmarkEnd w:id="0"/>
      <w:r>
        <w:rPr>
          <w:noProof/>
        </w:rPr>
        <w:t xml:space="preserve">   Πίνακας 1</w:t>
      </w:r>
      <w:r w:rsidRPr="00414CD1">
        <w:rPr>
          <w:noProof/>
        </w:rPr>
        <w:t xml:space="preserve">: </w:t>
      </w:r>
      <w:r>
        <w:rPr>
          <w:noProof/>
        </w:rPr>
        <w:t>Συχνότητα κρουσμάτων μετάξύ 36</w:t>
      </w:r>
      <w:r w:rsidRPr="00414CD1">
        <w:rPr>
          <w:noProof/>
          <w:vertAlign w:val="superscript"/>
        </w:rPr>
        <w:t>ης</w:t>
      </w:r>
      <w:r>
        <w:rPr>
          <w:noProof/>
        </w:rPr>
        <w:t>-39</w:t>
      </w:r>
      <w:r w:rsidRPr="00414CD1">
        <w:rPr>
          <w:noProof/>
          <w:vertAlign w:val="superscript"/>
        </w:rPr>
        <w:t>ης</w:t>
      </w:r>
      <w:r>
        <w:rPr>
          <w:noProof/>
        </w:rPr>
        <w:t xml:space="preserve"> εββομάδας 2021 στη Μεγάλη Βρετανία (Πηγή Εβδομαδιαία αναφορά </w:t>
      </w:r>
      <w:r>
        <w:rPr>
          <w:noProof/>
          <w:lang w:val="en-US"/>
        </w:rPr>
        <w:t>UK</w:t>
      </w:r>
      <w:bookmarkStart w:id="2" w:name="_Hlk84932320"/>
      <w:r w:rsidR="00FE0DC5">
        <w:rPr>
          <w:noProof/>
          <w:lang w:val="en-US"/>
        </w:rPr>
        <w:t>H</w:t>
      </w:r>
      <w:r>
        <w:rPr>
          <w:noProof/>
          <w:lang w:val="en-US"/>
        </w:rPr>
        <w:t>ealthSecurityAgency</w:t>
      </w:r>
      <w:r w:rsidRPr="00414CD1">
        <w:rPr>
          <w:noProof/>
        </w:rPr>
        <w:t>)</w:t>
      </w:r>
      <w:bookmarkEnd w:id="2"/>
    </w:p>
    <w:bookmarkEnd w:id="1"/>
    <w:p w:rsidR="00414CD1" w:rsidRDefault="00414CD1" w:rsidP="00431885">
      <w:pPr>
        <w:jc w:val="both"/>
        <w:rPr>
          <w:noProof/>
        </w:rPr>
      </w:pPr>
    </w:p>
    <w:tbl>
      <w:tblPr>
        <w:tblStyle w:val="a3"/>
        <w:tblpPr w:leftFromText="180" w:rightFromText="180" w:vertAnchor="text" w:horzAnchor="page" w:tblpX="3706" w:tblpY="-62"/>
        <w:tblW w:w="0" w:type="auto"/>
        <w:tblLook w:val="04A0"/>
      </w:tblPr>
      <w:tblGrid>
        <w:gridCol w:w="885"/>
      </w:tblGrid>
      <w:tr w:rsidR="00414CD1" w:rsidTr="00414CD1">
        <w:tc>
          <w:tcPr>
            <w:tcW w:w="884" w:type="dxa"/>
          </w:tcPr>
          <w:p w:rsidR="00414CD1" w:rsidRDefault="00414CD1" w:rsidP="00431885">
            <w:pPr>
              <w:jc w:val="both"/>
              <w:rPr>
                <w:noProof/>
              </w:rPr>
            </w:pPr>
            <w:bookmarkStart w:id="3" w:name="_Hlk84933445"/>
            <w:r>
              <w:rPr>
                <w:noProof/>
              </w:rPr>
              <w:t>278.8</w:t>
            </w:r>
          </w:p>
        </w:tc>
      </w:tr>
      <w:tr w:rsidR="00414CD1" w:rsidTr="00414CD1">
        <w:tc>
          <w:tcPr>
            <w:tcW w:w="884" w:type="dxa"/>
          </w:tcPr>
          <w:p w:rsidR="00414CD1" w:rsidRDefault="00414CD1" w:rsidP="00431885">
            <w:pPr>
              <w:jc w:val="both"/>
              <w:rPr>
                <w:noProof/>
              </w:rPr>
            </w:pPr>
            <w:r>
              <w:rPr>
                <w:noProof/>
              </w:rPr>
              <w:t>409.6</w:t>
            </w:r>
          </w:p>
        </w:tc>
      </w:tr>
      <w:tr w:rsidR="00414CD1" w:rsidTr="00414CD1">
        <w:tc>
          <w:tcPr>
            <w:tcW w:w="884" w:type="dxa"/>
          </w:tcPr>
          <w:p w:rsidR="00414CD1" w:rsidRDefault="00414CD1" w:rsidP="00431885">
            <w:pPr>
              <w:jc w:val="both"/>
              <w:rPr>
                <w:noProof/>
              </w:rPr>
            </w:pPr>
            <w:r>
              <w:rPr>
                <w:noProof/>
              </w:rPr>
              <w:t>763.6</w:t>
            </w:r>
          </w:p>
        </w:tc>
      </w:tr>
      <w:tr w:rsidR="00414CD1" w:rsidTr="00414CD1">
        <w:tc>
          <w:tcPr>
            <w:tcW w:w="884" w:type="dxa"/>
          </w:tcPr>
          <w:p w:rsidR="00414CD1" w:rsidRDefault="00414CD1" w:rsidP="00431885">
            <w:pPr>
              <w:jc w:val="both"/>
              <w:rPr>
                <w:noProof/>
              </w:rPr>
            </w:pPr>
            <w:r>
              <w:rPr>
                <w:noProof/>
              </w:rPr>
              <w:t>1.281</w:t>
            </w:r>
            <w:r w:rsidR="0035732E">
              <w:rPr>
                <w:noProof/>
              </w:rPr>
              <w:t>.</w:t>
            </w:r>
            <w:r>
              <w:rPr>
                <w:noProof/>
              </w:rPr>
              <w:t>8</w:t>
            </w:r>
          </w:p>
        </w:tc>
      </w:tr>
      <w:tr w:rsidR="00414CD1" w:rsidTr="00414CD1">
        <w:tc>
          <w:tcPr>
            <w:tcW w:w="884" w:type="dxa"/>
          </w:tcPr>
          <w:p w:rsidR="00414CD1" w:rsidRDefault="00414CD1" w:rsidP="00431885">
            <w:pPr>
              <w:jc w:val="both"/>
              <w:rPr>
                <w:noProof/>
              </w:rPr>
            </w:pPr>
            <w:r>
              <w:rPr>
                <w:noProof/>
              </w:rPr>
              <w:t>839</w:t>
            </w:r>
            <w:r w:rsidR="0035732E">
              <w:rPr>
                <w:noProof/>
              </w:rPr>
              <w:t>.</w:t>
            </w:r>
            <w:r>
              <w:rPr>
                <w:noProof/>
              </w:rPr>
              <w:t>5</w:t>
            </w:r>
          </w:p>
        </w:tc>
      </w:tr>
      <w:tr w:rsidR="00414CD1" w:rsidTr="00414CD1">
        <w:tc>
          <w:tcPr>
            <w:tcW w:w="884" w:type="dxa"/>
          </w:tcPr>
          <w:p w:rsidR="00414CD1" w:rsidRDefault="00414CD1" w:rsidP="00431885">
            <w:pPr>
              <w:jc w:val="both"/>
              <w:rPr>
                <w:noProof/>
              </w:rPr>
            </w:pPr>
            <w:r>
              <w:rPr>
                <w:noProof/>
              </w:rPr>
              <w:t>563,1</w:t>
            </w:r>
          </w:p>
        </w:tc>
      </w:tr>
      <w:tr w:rsidR="00414CD1" w:rsidTr="00414CD1">
        <w:tc>
          <w:tcPr>
            <w:tcW w:w="884" w:type="dxa"/>
          </w:tcPr>
          <w:p w:rsidR="00414CD1" w:rsidRDefault="00414CD1" w:rsidP="00431885">
            <w:pPr>
              <w:jc w:val="both"/>
              <w:rPr>
                <w:noProof/>
              </w:rPr>
            </w:pPr>
            <w:r>
              <w:rPr>
                <w:noProof/>
              </w:rPr>
              <w:t>42</w:t>
            </w:r>
            <w:r w:rsidR="00307C79">
              <w:rPr>
                <w:noProof/>
              </w:rPr>
              <w:t>8</w:t>
            </w:r>
            <w:r w:rsidR="0035732E">
              <w:rPr>
                <w:noProof/>
              </w:rPr>
              <w:t>.</w:t>
            </w:r>
            <w:r>
              <w:rPr>
                <w:noProof/>
              </w:rPr>
              <w:t>9</w:t>
            </w:r>
          </w:p>
        </w:tc>
      </w:tr>
      <w:tr w:rsidR="00414CD1" w:rsidTr="00414CD1">
        <w:tc>
          <w:tcPr>
            <w:tcW w:w="884" w:type="dxa"/>
          </w:tcPr>
          <w:p w:rsidR="00414CD1" w:rsidRDefault="00414CD1" w:rsidP="00431885">
            <w:pPr>
              <w:jc w:val="both"/>
              <w:rPr>
                <w:noProof/>
              </w:rPr>
            </w:pPr>
            <w:r>
              <w:rPr>
                <w:noProof/>
              </w:rPr>
              <w:t>354</w:t>
            </w:r>
            <w:r w:rsidR="0035732E">
              <w:rPr>
                <w:noProof/>
              </w:rPr>
              <w:t>.</w:t>
            </w:r>
            <w:r>
              <w:rPr>
                <w:noProof/>
              </w:rPr>
              <w:t>4</w:t>
            </w:r>
          </w:p>
        </w:tc>
      </w:tr>
    </w:tbl>
    <w:tbl>
      <w:tblPr>
        <w:tblStyle w:val="a3"/>
        <w:tblpPr w:leftFromText="180" w:rightFromText="180" w:vertAnchor="text" w:horzAnchor="page" w:tblpX="7036" w:tblpY="-17"/>
        <w:tblW w:w="0" w:type="auto"/>
        <w:tblLook w:val="04A0"/>
      </w:tblPr>
      <w:tblGrid>
        <w:gridCol w:w="885"/>
      </w:tblGrid>
      <w:tr w:rsidR="00414CD1" w:rsidTr="00414CD1">
        <w:tc>
          <w:tcPr>
            <w:tcW w:w="884" w:type="dxa"/>
          </w:tcPr>
          <w:bookmarkEnd w:id="3"/>
          <w:p w:rsidR="00414CD1" w:rsidRDefault="00414CD1" w:rsidP="00431885">
            <w:pPr>
              <w:jc w:val="both"/>
              <w:rPr>
                <w:noProof/>
              </w:rPr>
            </w:pPr>
            <w:r>
              <w:rPr>
                <w:noProof/>
              </w:rPr>
              <w:t>2.325</w:t>
            </w:r>
            <w:r w:rsidR="0035732E">
              <w:rPr>
                <w:noProof/>
              </w:rPr>
              <w:t>.</w:t>
            </w:r>
            <w:r>
              <w:rPr>
                <w:noProof/>
              </w:rPr>
              <w:t>7</w:t>
            </w:r>
          </w:p>
        </w:tc>
      </w:tr>
      <w:tr w:rsidR="00414CD1" w:rsidTr="00414CD1">
        <w:tc>
          <w:tcPr>
            <w:tcW w:w="884" w:type="dxa"/>
          </w:tcPr>
          <w:p w:rsidR="00414CD1" w:rsidRDefault="00414CD1" w:rsidP="00431885">
            <w:pPr>
              <w:jc w:val="both"/>
              <w:rPr>
                <w:noProof/>
              </w:rPr>
            </w:pPr>
            <w:r>
              <w:rPr>
                <w:noProof/>
              </w:rPr>
              <w:t xml:space="preserve">   688</w:t>
            </w:r>
            <w:r w:rsidR="0035732E">
              <w:rPr>
                <w:noProof/>
              </w:rPr>
              <w:t>.</w:t>
            </w:r>
            <w:r>
              <w:rPr>
                <w:noProof/>
              </w:rPr>
              <w:t>1</w:t>
            </w:r>
          </w:p>
        </w:tc>
      </w:tr>
      <w:tr w:rsidR="00414CD1" w:rsidTr="00414CD1">
        <w:tc>
          <w:tcPr>
            <w:tcW w:w="884" w:type="dxa"/>
          </w:tcPr>
          <w:p w:rsidR="00414CD1" w:rsidRDefault="00414CD1" w:rsidP="00431885">
            <w:pPr>
              <w:jc w:val="both"/>
              <w:rPr>
                <w:noProof/>
              </w:rPr>
            </w:pPr>
            <w:r>
              <w:rPr>
                <w:noProof/>
              </w:rPr>
              <w:t xml:space="preserve">   738</w:t>
            </w:r>
            <w:r w:rsidR="0035732E">
              <w:rPr>
                <w:noProof/>
              </w:rPr>
              <w:t>.</w:t>
            </w:r>
            <w:r>
              <w:rPr>
                <w:noProof/>
              </w:rPr>
              <w:t>4</w:t>
            </w:r>
          </w:p>
        </w:tc>
      </w:tr>
      <w:tr w:rsidR="00414CD1" w:rsidTr="00414CD1">
        <w:tc>
          <w:tcPr>
            <w:tcW w:w="884" w:type="dxa"/>
          </w:tcPr>
          <w:p w:rsidR="00414CD1" w:rsidRDefault="00414CD1" w:rsidP="00431885">
            <w:pPr>
              <w:jc w:val="both"/>
              <w:rPr>
                <w:noProof/>
              </w:rPr>
            </w:pPr>
            <w:r>
              <w:rPr>
                <w:noProof/>
              </w:rPr>
              <w:t xml:space="preserve">   690,2</w:t>
            </w:r>
          </w:p>
        </w:tc>
      </w:tr>
      <w:tr w:rsidR="00414CD1" w:rsidTr="00414CD1">
        <w:tc>
          <w:tcPr>
            <w:tcW w:w="884" w:type="dxa"/>
          </w:tcPr>
          <w:p w:rsidR="00414CD1" w:rsidRDefault="00414CD1" w:rsidP="00431885">
            <w:pPr>
              <w:jc w:val="both"/>
              <w:rPr>
                <w:noProof/>
              </w:rPr>
            </w:pPr>
            <w:r>
              <w:rPr>
                <w:noProof/>
              </w:rPr>
              <w:t xml:space="preserve">   502</w:t>
            </w:r>
            <w:r w:rsidR="0035732E">
              <w:rPr>
                <w:noProof/>
              </w:rPr>
              <w:t>.</w:t>
            </w:r>
            <w:r>
              <w:rPr>
                <w:noProof/>
              </w:rPr>
              <w:t>5</w:t>
            </w:r>
          </w:p>
        </w:tc>
      </w:tr>
      <w:tr w:rsidR="00414CD1" w:rsidTr="00414CD1">
        <w:tc>
          <w:tcPr>
            <w:tcW w:w="884" w:type="dxa"/>
          </w:tcPr>
          <w:p w:rsidR="00414CD1" w:rsidRDefault="00414CD1" w:rsidP="00431885">
            <w:pPr>
              <w:jc w:val="both"/>
              <w:rPr>
                <w:noProof/>
              </w:rPr>
            </w:pPr>
            <w:r>
              <w:rPr>
                <w:noProof/>
              </w:rPr>
              <w:t xml:space="preserve">   332</w:t>
            </w:r>
            <w:r w:rsidR="0035732E">
              <w:rPr>
                <w:noProof/>
              </w:rPr>
              <w:t>.</w:t>
            </w:r>
            <w:r>
              <w:rPr>
                <w:noProof/>
              </w:rPr>
              <w:t>9</w:t>
            </w:r>
          </w:p>
        </w:tc>
      </w:tr>
      <w:tr w:rsidR="00414CD1" w:rsidTr="00414CD1">
        <w:tc>
          <w:tcPr>
            <w:tcW w:w="884" w:type="dxa"/>
          </w:tcPr>
          <w:p w:rsidR="00414CD1" w:rsidRDefault="00414CD1" w:rsidP="00431885">
            <w:pPr>
              <w:jc w:val="both"/>
              <w:rPr>
                <w:noProof/>
              </w:rPr>
            </w:pPr>
            <w:r>
              <w:rPr>
                <w:noProof/>
              </w:rPr>
              <w:t xml:space="preserve">   281</w:t>
            </w:r>
            <w:r w:rsidR="0035732E">
              <w:rPr>
                <w:noProof/>
              </w:rPr>
              <w:t>.</w:t>
            </w:r>
            <w:r>
              <w:rPr>
                <w:noProof/>
              </w:rPr>
              <w:t>4</w:t>
            </w:r>
          </w:p>
        </w:tc>
      </w:tr>
      <w:tr w:rsidR="00414CD1" w:rsidTr="00414CD1">
        <w:tc>
          <w:tcPr>
            <w:tcW w:w="884" w:type="dxa"/>
          </w:tcPr>
          <w:p w:rsidR="00414CD1" w:rsidRDefault="00414CD1" w:rsidP="00431885">
            <w:pPr>
              <w:jc w:val="both"/>
              <w:rPr>
                <w:noProof/>
              </w:rPr>
            </w:pPr>
            <w:r>
              <w:rPr>
                <w:noProof/>
              </w:rPr>
              <w:t xml:space="preserve">   319</w:t>
            </w:r>
            <w:r w:rsidR="0035732E">
              <w:rPr>
                <w:noProof/>
              </w:rPr>
              <w:t>.</w:t>
            </w:r>
            <w:r>
              <w:rPr>
                <w:noProof/>
              </w:rPr>
              <w:t>5</w:t>
            </w:r>
          </w:p>
        </w:tc>
      </w:tr>
    </w:tbl>
    <w:tbl>
      <w:tblPr>
        <w:tblStyle w:val="a3"/>
        <w:tblpPr w:leftFromText="180" w:rightFromText="180" w:vertAnchor="text" w:horzAnchor="margin" w:tblpXSpec="center" w:tblpY="-77"/>
        <w:tblW w:w="0" w:type="auto"/>
        <w:tblLook w:val="04A0"/>
      </w:tblPr>
      <w:tblGrid>
        <w:gridCol w:w="1135"/>
      </w:tblGrid>
      <w:tr w:rsidR="00414CD1" w:rsidTr="00414CD1">
        <w:tc>
          <w:tcPr>
            <w:tcW w:w="1135" w:type="dxa"/>
          </w:tcPr>
          <w:p w:rsidR="00414CD1" w:rsidRDefault="00414CD1" w:rsidP="00431885">
            <w:pPr>
              <w:jc w:val="both"/>
              <w:rPr>
                <w:noProof/>
              </w:rPr>
            </w:pPr>
            <w:r>
              <w:rPr>
                <w:noProof/>
              </w:rPr>
              <w:t>&lt;18</w:t>
            </w:r>
          </w:p>
        </w:tc>
      </w:tr>
      <w:tr w:rsidR="00414CD1" w:rsidTr="00414CD1">
        <w:tc>
          <w:tcPr>
            <w:tcW w:w="1135" w:type="dxa"/>
          </w:tcPr>
          <w:p w:rsidR="00414CD1" w:rsidRDefault="00414CD1" w:rsidP="00431885">
            <w:pPr>
              <w:jc w:val="both"/>
              <w:rPr>
                <w:noProof/>
              </w:rPr>
            </w:pPr>
            <w:r>
              <w:rPr>
                <w:noProof/>
              </w:rPr>
              <w:t xml:space="preserve">  18-29</w:t>
            </w:r>
          </w:p>
        </w:tc>
      </w:tr>
      <w:tr w:rsidR="00414CD1" w:rsidTr="00414CD1">
        <w:tc>
          <w:tcPr>
            <w:tcW w:w="1135" w:type="dxa"/>
          </w:tcPr>
          <w:p w:rsidR="00414CD1" w:rsidRDefault="00414CD1" w:rsidP="00431885">
            <w:pPr>
              <w:jc w:val="both"/>
              <w:rPr>
                <w:noProof/>
              </w:rPr>
            </w:pPr>
            <w:r>
              <w:rPr>
                <w:noProof/>
              </w:rPr>
              <w:t xml:space="preserve">  30-39</w:t>
            </w:r>
          </w:p>
        </w:tc>
      </w:tr>
      <w:tr w:rsidR="00414CD1" w:rsidTr="00414CD1">
        <w:tc>
          <w:tcPr>
            <w:tcW w:w="1135" w:type="dxa"/>
          </w:tcPr>
          <w:p w:rsidR="00414CD1" w:rsidRDefault="00414CD1" w:rsidP="00431885">
            <w:pPr>
              <w:jc w:val="both"/>
              <w:rPr>
                <w:noProof/>
              </w:rPr>
            </w:pPr>
            <w:r>
              <w:rPr>
                <w:noProof/>
              </w:rPr>
              <w:t xml:space="preserve">  40-49</w:t>
            </w:r>
          </w:p>
        </w:tc>
      </w:tr>
      <w:tr w:rsidR="00414CD1" w:rsidTr="00414CD1">
        <w:tc>
          <w:tcPr>
            <w:tcW w:w="1135" w:type="dxa"/>
          </w:tcPr>
          <w:p w:rsidR="00414CD1" w:rsidRDefault="00414CD1" w:rsidP="00431885">
            <w:pPr>
              <w:jc w:val="both"/>
              <w:rPr>
                <w:noProof/>
              </w:rPr>
            </w:pPr>
            <w:r>
              <w:rPr>
                <w:noProof/>
              </w:rPr>
              <w:t xml:space="preserve">  50-59</w:t>
            </w:r>
          </w:p>
        </w:tc>
      </w:tr>
      <w:tr w:rsidR="00414CD1" w:rsidTr="00414CD1">
        <w:tc>
          <w:tcPr>
            <w:tcW w:w="1135" w:type="dxa"/>
          </w:tcPr>
          <w:p w:rsidR="00414CD1" w:rsidRDefault="00414CD1" w:rsidP="00431885">
            <w:pPr>
              <w:jc w:val="both"/>
              <w:rPr>
                <w:noProof/>
              </w:rPr>
            </w:pPr>
            <w:r>
              <w:rPr>
                <w:noProof/>
              </w:rPr>
              <w:t xml:space="preserve">  60-69</w:t>
            </w:r>
          </w:p>
        </w:tc>
      </w:tr>
      <w:tr w:rsidR="00414CD1" w:rsidTr="00414CD1">
        <w:tc>
          <w:tcPr>
            <w:tcW w:w="1135" w:type="dxa"/>
          </w:tcPr>
          <w:p w:rsidR="00414CD1" w:rsidRDefault="00414CD1" w:rsidP="00431885">
            <w:pPr>
              <w:jc w:val="both"/>
              <w:rPr>
                <w:noProof/>
              </w:rPr>
            </w:pPr>
            <w:r>
              <w:rPr>
                <w:noProof/>
              </w:rPr>
              <w:t xml:space="preserve">  70-79</w:t>
            </w:r>
          </w:p>
        </w:tc>
      </w:tr>
      <w:tr w:rsidR="00414CD1" w:rsidTr="00414CD1">
        <w:tc>
          <w:tcPr>
            <w:tcW w:w="1135" w:type="dxa"/>
          </w:tcPr>
          <w:p w:rsidR="00414CD1" w:rsidRDefault="00414CD1" w:rsidP="00431885">
            <w:pPr>
              <w:jc w:val="both"/>
              <w:rPr>
                <w:noProof/>
              </w:rPr>
            </w:pPr>
            <w:r>
              <w:rPr>
                <w:noProof/>
              </w:rPr>
              <w:t xml:space="preserve">  80-89</w:t>
            </w:r>
          </w:p>
        </w:tc>
      </w:tr>
    </w:tbl>
    <w:p w:rsidR="00C45BF1" w:rsidRDefault="00C45BF1" w:rsidP="00431885">
      <w:pPr>
        <w:jc w:val="both"/>
        <w:rPr>
          <w:noProof/>
        </w:rPr>
      </w:pPr>
    </w:p>
    <w:p w:rsidR="00C45BF1" w:rsidRDefault="00C45BF1" w:rsidP="00431885">
      <w:pPr>
        <w:jc w:val="both"/>
        <w:rPr>
          <w:noProof/>
        </w:rPr>
      </w:pPr>
    </w:p>
    <w:p w:rsidR="00C45BF1" w:rsidRDefault="00C45BF1" w:rsidP="00431885">
      <w:pPr>
        <w:jc w:val="both"/>
        <w:rPr>
          <w:noProof/>
        </w:rPr>
      </w:pPr>
    </w:p>
    <w:p w:rsidR="00414CD1" w:rsidRDefault="00414CD1" w:rsidP="00431885">
      <w:pPr>
        <w:jc w:val="both"/>
        <w:rPr>
          <w:noProof/>
        </w:rPr>
      </w:pPr>
    </w:p>
    <w:p w:rsidR="00414CD1" w:rsidRDefault="00414CD1" w:rsidP="00431885">
      <w:pPr>
        <w:jc w:val="both"/>
        <w:rPr>
          <w:noProof/>
        </w:rPr>
      </w:pPr>
    </w:p>
    <w:p w:rsidR="00C01546" w:rsidRDefault="00C01546" w:rsidP="00431885">
      <w:pPr>
        <w:jc w:val="both"/>
        <w:rPr>
          <w:noProof/>
        </w:rPr>
      </w:pPr>
    </w:p>
    <w:p w:rsidR="009533D3" w:rsidRDefault="0035732E" w:rsidP="00431885">
      <w:pPr>
        <w:jc w:val="both"/>
        <w:rPr>
          <w:noProof/>
        </w:rPr>
      </w:pPr>
      <w:r>
        <w:rPr>
          <w:noProof/>
        </w:rPr>
        <w:t xml:space="preserve">       Τι δεν μας λέει ο «ποιητής»</w:t>
      </w:r>
      <w:r w:rsidRPr="0035732E">
        <w:rPr>
          <w:noProof/>
        </w:rPr>
        <w:t xml:space="preserve">; </w:t>
      </w:r>
      <w:r>
        <w:rPr>
          <w:noProof/>
        </w:rPr>
        <w:t xml:space="preserve">Ότι από τα κρούσματα ο αριθμός αυτών που αναγκάστηκαν λόγω συμπτωμάτων ν’ απευθυνθούν στα επείγοντα τμήματα των Νοσοκομείων και ακολούθως να νοσηλευθούν (άρα εξ ορισμού τα βαρύτερα περιστατικά) ήταν, ως αναμενόταν,  από 2-πλάσιος ως 8-πλάσιος </w:t>
      </w:r>
      <w:r w:rsidR="009533D3">
        <w:rPr>
          <w:noProof/>
        </w:rPr>
        <w:t xml:space="preserve">μεγαλύτερος στους ανεμβολίαστους απ΄ότι στους πλήρως εμβολιασμένους </w:t>
      </w:r>
      <w:r w:rsidR="00431885">
        <w:rPr>
          <w:noProof/>
        </w:rPr>
        <w:t xml:space="preserve">σε όλες τις ηλικιακές ομάδες </w:t>
      </w:r>
      <w:r w:rsidR="009533D3">
        <w:rPr>
          <w:noProof/>
        </w:rPr>
        <w:t>(πίνακας 2)</w:t>
      </w:r>
    </w:p>
    <w:p w:rsidR="009533D3" w:rsidRDefault="009533D3" w:rsidP="00431885">
      <w:pPr>
        <w:jc w:val="both"/>
        <w:rPr>
          <w:noProof/>
        </w:rPr>
      </w:pPr>
      <w:bookmarkStart w:id="4" w:name="_Hlk84934422"/>
      <w:r>
        <w:rPr>
          <w:noProof/>
        </w:rPr>
        <w:t xml:space="preserve">     Πίνακας 2</w:t>
      </w:r>
      <w:r w:rsidRPr="00414CD1">
        <w:rPr>
          <w:noProof/>
        </w:rPr>
        <w:t xml:space="preserve">: </w:t>
      </w:r>
      <w:r>
        <w:rPr>
          <w:noProof/>
        </w:rPr>
        <w:t>Συχνότητα κρουσμάτων μετάξύ 36</w:t>
      </w:r>
      <w:r w:rsidRPr="00414CD1">
        <w:rPr>
          <w:noProof/>
          <w:vertAlign w:val="superscript"/>
        </w:rPr>
        <w:t>ης</w:t>
      </w:r>
      <w:r>
        <w:rPr>
          <w:noProof/>
        </w:rPr>
        <w:t>-39</w:t>
      </w:r>
      <w:r w:rsidRPr="00414CD1">
        <w:rPr>
          <w:noProof/>
          <w:vertAlign w:val="superscript"/>
        </w:rPr>
        <w:t>ης</w:t>
      </w:r>
      <w:r>
        <w:rPr>
          <w:noProof/>
        </w:rPr>
        <w:t xml:space="preserve"> εββομάδας 2021 που προσήλθαν στα επείγοντα περιστατικά και εν συνεχεία νοσηλεύθηκαν στη Μεγάλη Βρετανία (Πηγή Εβδομαδιαία αναφορά </w:t>
      </w:r>
      <w:r>
        <w:rPr>
          <w:noProof/>
          <w:lang w:val="en-US"/>
        </w:rPr>
        <w:t>UK</w:t>
      </w:r>
      <w:r w:rsidR="00431885">
        <w:rPr>
          <w:noProof/>
          <w:lang w:val="en-US"/>
        </w:rPr>
        <w:t>H</w:t>
      </w:r>
      <w:r>
        <w:rPr>
          <w:noProof/>
          <w:lang w:val="en-US"/>
        </w:rPr>
        <w:t>ealthSecurityAgency</w:t>
      </w:r>
      <w:r w:rsidRPr="00414CD1">
        <w:rPr>
          <w:noProof/>
        </w:rPr>
        <w:t>)</w:t>
      </w:r>
    </w:p>
    <w:tbl>
      <w:tblPr>
        <w:tblStyle w:val="a3"/>
        <w:tblpPr w:leftFromText="180" w:rightFromText="180" w:vertAnchor="text" w:horzAnchor="margin" w:tblpXSpec="center" w:tblpY="33"/>
        <w:tblW w:w="0" w:type="auto"/>
        <w:tblLook w:val="04A0"/>
      </w:tblPr>
      <w:tblGrid>
        <w:gridCol w:w="3539"/>
        <w:gridCol w:w="3402"/>
      </w:tblGrid>
      <w:tr w:rsidR="009533D3" w:rsidTr="009533D3">
        <w:tc>
          <w:tcPr>
            <w:tcW w:w="3539" w:type="dxa"/>
          </w:tcPr>
          <w:p w:rsidR="009533D3" w:rsidRDefault="009533D3" w:rsidP="00431885">
            <w:pPr>
              <w:jc w:val="both"/>
            </w:pPr>
            <w:bookmarkStart w:id="5" w:name="_Hlk84934485"/>
            <w:bookmarkEnd w:id="4"/>
            <w:r>
              <w:lastRenderedPageBreak/>
              <w:t>Συχνότητα μεταξύ εμβολιασθέντων</w:t>
            </w:r>
          </w:p>
          <w:p w:rsidR="009533D3" w:rsidRDefault="009533D3" w:rsidP="00431885">
            <w:pPr>
              <w:jc w:val="both"/>
            </w:pPr>
            <w:r>
              <w:t xml:space="preserve">      με 2  δόσεις (ανά 100.000)</w:t>
            </w:r>
          </w:p>
        </w:tc>
        <w:tc>
          <w:tcPr>
            <w:tcW w:w="3402" w:type="dxa"/>
          </w:tcPr>
          <w:p w:rsidR="009533D3" w:rsidRDefault="009533D3" w:rsidP="00431885">
            <w:pPr>
              <w:jc w:val="both"/>
            </w:pPr>
            <w:r>
              <w:t>Συχνότητα μεταξύ ανεμβολίαστων</w:t>
            </w:r>
          </w:p>
          <w:p w:rsidR="009533D3" w:rsidRDefault="009533D3" w:rsidP="00431885">
            <w:pPr>
              <w:jc w:val="both"/>
            </w:pPr>
            <w:r>
              <w:t xml:space="preserve">                  (ανά 100.000)</w:t>
            </w:r>
          </w:p>
        </w:tc>
      </w:tr>
      <w:bookmarkEnd w:id="5"/>
    </w:tbl>
    <w:p w:rsidR="009533D3" w:rsidRDefault="009533D3" w:rsidP="00431885">
      <w:pPr>
        <w:jc w:val="both"/>
        <w:rPr>
          <w:noProof/>
        </w:rPr>
      </w:pPr>
    </w:p>
    <w:p w:rsidR="009533D3" w:rsidRDefault="009533D3" w:rsidP="00431885">
      <w:pPr>
        <w:jc w:val="both"/>
        <w:rPr>
          <w:noProof/>
        </w:rPr>
      </w:pPr>
    </w:p>
    <w:p w:rsidR="009533D3" w:rsidRDefault="009533D3" w:rsidP="00431885">
      <w:pPr>
        <w:jc w:val="both"/>
        <w:rPr>
          <w:noProof/>
        </w:rPr>
      </w:pPr>
    </w:p>
    <w:tbl>
      <w:tblPr>
        <w:tblStyle w:val="a3"/>
        <w:tblpPr w:leftFromText="180" w:rightFromText="180" w:vertAnchor="text" w:horzAnchor="page" w:tblpX="3736" w:tblpY="-329"/>
        <w:tblW w:w="0" w:type="auto"/>
        <w:tblLook w:val="04A0"/>
      </w:tblPr>
      <w:tblGrid>
        <w:gridCol w:w="704"/>
      </w:tblGrid>
      <w:tr w:rsidR="009533D3" w:rsidTr="009533D3">
        <w:tc>
          <w:tcPr>
            <w:tcW w:w="704" w:type="dxa"/>
          </w:tcPr>
          <w:p w:rsidR="009533D3" w:rsidRDefault="009533D3" w:rsidP="00431885">
            <w:pPr>
              <w:jc w:val="both"/>
              <w:rPr>
                <w:noProof/>
              </w:rPr>
            </w:pPr>
            <w:r>
              <w:rPr>
                <w:noProof/>
              </w:rPr>
              <w:t>0.5</w:t>
            </w:r>
          </w:p>
        </w:tc>
      </w:tr>
      <w:tr w:rsidR="009533D3" w:rsidTr="009533D3">
        <w:tc>
          <w:tcPr>
            <w:tcW w:w="704" w:type="dxa"/>
          </w:tcPr>
          <w:p w:rsidR="009533D3" w:rsidRDefault="009533D3" w:rsidP="00431885">
            <w:pPr>
              <w:jc w:val="both"/>
              <w:rPr>
                <w:noProof/>
              </w:rPr>
            </w:pPr>
            <w:r>
              <w:rPr>
                <w:noProof/>
              </w:rPr>
              <w:t>1.1</w:t>
            </w:r>
          </w:p>
        </w:tc>
      </w:tr>
      <w:tr w:rsidR="009533D3" w:rsidTr="009533D3">
        <w:tc>
          <w:tcPr>
            <w:tcW w:w="704" w:type="dxa"/>
          </w:tcPr>
          <w:p w:rsidR="009533D3" w:rsidRDefault="009533D3" w:rsidP="00431885">
            <w:pPr>
              <w:jc w:val="both"/>
              <w:rPr>
                <w:noProof/>
              </w:rPr>
            </w:pPr>
            <w:r>
              <w:rPr>
                <w:noProof/>
              </w:rPr>
              <w:t>2.2</w:t>
            </w:r>
          </w:p>
        </w:tc>
      </w:tr>
      <w:tr w:rsidR="009533D3" w:rsidTr="009533D3">
        <w:tc>
          <w:tcPr>
            <w:tcW w:w="704" w:type="dxa"/>
          </w:tcPr>
          <w:p w:rsidR="009533D3" w:rsidRDefault="009533D3" w:rsidP="00431885">
            <w:pPr>
              <w:jc w:val="both"/>
              <w:rPr>
                <w:noProof/>
              </w:rPr>
            </w:pPr>
            <w:r>
              <w:rPr>
                <w:noProof/>
              </w:rPr>
              <w:t>5.1</w:t>
            </w:r>
          </w:p>
        </w:tc>
      </w:tr>
      <w:tr w:rsidR="009533D3" w:rsidTr="009533D3">
        <w:tc>
          <w:tcPr>
            <w:tcW w:w="704" w:type="dxa"/>
          </w:tcPr>
          <w:p w:rsidR="009533D3" w:rsidRDefault="009533D3" w:rsidP="00431885">
            <w:pPr>
              <w:jc w:val="both"/>
              <w:rPr>
                <w:noProof/>
              </w:rPr>
            </w:pPr>
            <w:r>
              <w:rPr>
                <w:noProof/>
              </w:rPr>
              <w:t>6.6</w:t>
            </w:r>
          </w:p>
        </w:tc>
      </w:tr>
      <w:tr w:rsidR="009533D3" w:rsidTr="009533D3">
        <w:tc>
          <w:tcPr>
            <w:tcW w:w="704" w:type="dxa"/>
          </w:tcPr>
          <w:p w:rsidR="009533D3" w:rsidRDefault="009533D3" w:rsidP="00431885">
            <w:pPr>
              <w:jc w:val="both"/>
              <w:rPr>
                <w:noProof/>
              </w:rPr>
            </w:pPr>
            <w:r>
              <w:rPr>
                <w:noProof/>
              </w:rPr>
              <w:t>11.4</w:t>
            </w:r>
          </w:p>
        </w:tc>
      </w:tr>
      <w:tr w:rsidR="009533D3" w:rsidTr="009533D3">
        <w:tc>
          <w:tcPr>
            <w:tcW w:w="704" w:type="dxa"/>
          </w:tcPr>
          <w:p w:rsidR="009533D3" w:rsidRDefault="009533D3" w:rsidP="00431885">
            <w:pPr>
              <w:jc w:val="both"/>
              <w:rPr>
                <w:noProof/>
              </w:rPr>
            </w:pPr>
            <w:r>
              <w:rPr>
                <w:noProof/>
              </w:rPr>
              <w:t>22.4</w:t>
            </w:r>
          </w:p>
        </w:tc>
      </w:tr>
      <w:tr w:rsidR="009533D3" w:rsidTr="009533D3">
        <w:tc>
          <w:tcPr>
            <w:tcW w:w="704" w:type="dxa"/>
          </w:tcPr>
          <w:p w:rsidR="009533D3" w:rsidRDefault="009533D3" w:rsidP="00431885">
            <w:pPr>
              <w:jc w:val="both"/>
              <w:rPr>
                <w:noProof/>
              </w:rPr>
            </w:pPr>
            <w:r>
              <w:rPr>
                <w:noProof/>
              </w:rPr>
              <w:t>49.0</w:t>
            </w:r>
          </w:p>
        </w:tc>
      </w:tr>
    </w:tbl>
    <w:tbl>
      <w:tblPr>
        <w:tblStyle w:val="a3"/>
        <w:tblpPr w:leftFromText="180" w:rightFromText="180" w:vertAnchor="text" w:horzAnchor="margin" w:tblpXSpec="center" w:tblpY="-314"/>
        <w:tblW w:w="0" w:type="auto"/>
        <w:tblLook w:val="04A0"/>
      </w:tblPr>
      <w:tblGrid>
        <w:gridCol w:w="1135"/>
      </w:tblGrid>
      <w:tr w:rsidR="009533D3" w:rsidTr="009533D3">
        <w:tc>
          <w:tcPr>
            <w:tcW w:w="1135" w:type="dxa"/>
          </w:tcPr>
          <w:p w:rsidR="009533D3" w:rsidRDefault="009533D3" w:rsidP="00431885">
            <w:pPr>
              <w:jc w:val="both"/>
              <w:rPr>
                <w:noProof/>
              </w:rPr>
            </w:pPr>
            <w:r>
              <w:rPr>
                <w:noProof/>
              </w:rPr>
              <w:t>&lt;18</w:t>
            </w:r>
          </w:p>
        </w:tc>
      </w:tr>
      <w:tr w:rsidR="009533D3" w:rsidTr="009533D3">
        <w:tc>
          <w:tcPr>
            <w:tcW w:w="1135" w:type="dxa"/>
          </w:tcPr>
          <w:p w:rsidR="009533D3" w:rsidRDefault="009533D3" w:rsidP="00431885">
            <w:pPr>
              <w:jc w:val="both"/>
              <w:rPr>
                <w:noProof/>
              </w:rPr>
            </w:pPr>
            <w:r>
              <w:rPr>
                <w:noProof/>
              </w:rPr>
              <w:t xml:space="preserve">  18-29</w:t>
            </w:r>
          </w:p>
        </w:tc>
      </w:tr>
      <w:tr w:rsidR="009533D3" w:rsidTr="009533D3">
        <w:tc>
          <w:tcPr>
            <w:tcW w:w="1135" w:type="dxa"/>
          </w:tcPr>
          <w:p w:rsidR="009533D3" w:rsidRDefault="009533D3" w:rsidP="00431885">
            <w:pPr>
              <w:jc w:val="both"/>
              <w:rPr>
                <w:noProof/>
              </w:rPr>
            </w:pPr>
            <w:r>
              <w:rPr>
                <w:noProof/>
              </w:rPr>
              <w:t xml:space="preserve">  30-39</w:t>
            </w:r>
          </w:p>
        </w:tc>
      </w:tr>
      <w:tr w:rsidR="009533D3" w:rsidTr="009533D3">
        <w:tc>
          <w:tcPr>
            <w:tcW w:w="1135" w:type="dxa"/>
          </w:tcPr>
          <w:p w:rsidR="009533D3" w:rsidRDefault="009533D3" w:rsidP="00431885">
            <w:pPr>
              <w:jc w:val="both"/>
              <w:rPr>
                <w:noProof/>
              </w:rPr>
            </w:pPr>
            <w:r>
              <w:rPr>
                <w:noProof/>
              </w:rPr>
              <w:t xml:space="preserve">  40-49</w:t>
            </w:r>
          </w:p>
        </w:tc>
      </w:tr>
      <w:tr w:rsidR="009533D3" w:rsidTr="009533D3">
        <w:tc>
          <w:tcPr>
            <w:tcW w:w="1135" w:type="dxa"/>
          </w:tcPr>
          <w:p w:rsidR="009533D3" w:rsidRDefault="009533D3" w:rsidP="00431885">
            <w:pPr>
              <w:jc w:val="both"/>
              <w:rPr>
                <w:noProof/>
              </w:rPr>
            </w:pPr>
            <w:r>
              <w:rPr>
                <w:noProof/>
              </w:rPr>
              <w:t xml:space="preserve">  50-59</w:t>
            </w:r>
          </w:p>
        </w:tc>
      </w:tr>
      <w:tr w:rsidR="009533D3" w:rsidTr="009533D3">
        <w:tc>
          <w:tcPr>
            <w:tcW w:w="1135" w:type="dxa"/>
          </w:tcPr>
          <w:p w:rsidR="009533D3" w:rsidRDefault="009533D3" w:rsidP="00431885">
            <w:pPr>
              <w:jc w:val="both"/>
              <w:rPr>
                <w:noProof/>
              </w:rPr>
            </w:pPr>
            <w:r>
              <w:rPr>
                <w:noProof/>
              </w:rPr>
              <w:t xml:space="preserve">  60-69</w:t>
            </w:r>
          </w:p>
        </w:tc>
      </w:tr>
      <w:tr w:rsidR="009533D3" w:rsidTr="009533D3">
        <w:tc>
          <w:tcPr>
            <w:tcW w:w="1135" w:type="dxa"/>
          </w:tcPr>
          <w:p w:rsidR="009533D3" w:rsidRDefault="009533D3" w:rsidP="00431885">
            <w:pPr>
              <w:jc w:val="both"/>
              <w:rPr>
                <w:noProof/>
              </w:rPr>
            </w:pPr>
            <w:r>
              <w:rPr>
                <w:noProof/>
              </w:rPr>
              <w:t xml:space="preserve">  70-79</w:t>
            </w:r>
          </w:p>
        </w:tc>
      </w:tr>
      <w:tr w:rsidR="009533D3" w:rsidTr="009533D3">
        <w:tc>
          <w:tcPr>
            <w:tcW w:w="1135" w:type="dxa"/>
          </w:tcPr>
          <w:p w:rsidR="009533D3" w:rsidRDefault="009533D3" w:rsidP="00431885">
            <w:pPr>
              <w:jc w:val="both"/>
              <w:rPr>
                <w:noProof/>
              </w:rPr>
            </w:pPr>
            <w:r>
              <w:rPr>
                <w:noProof/>
              </w:rPr>
              <w:t xml:space="preserve">  80-89</w:t>
            </w:r>
          </w:p>
        </w:tc>
      </w:tr>
    </w:tbl>
    <w:tbl>
      <w:tblPr>
        <w:tblStyle w:val="a3"/>
        <w:tblpPr w:leftFromText="180" w:rightFromText="180" w:vertAnchor="text" w:horzAnchor="page" w:tblpX="7216" w:tblpY="-314"/>
        <w:tblW w:w="0" w:type="auto"/>
        <w:tblLook w:val="04A0"/>
      </w:tblPr>
      <w:tblGrid>
        <w:gridCol w:w="704"/>
      </w:tblGrid>
      <w:tr w:rsidR="009533D3" w:rsidTr="009533D3">
        <w:tc>
          <w:tcPr>
            <w:tcW w:w="704" w:type="dxa"/>
          </w:tcPr>
          <w:p w:rsidR="009533D3" w:rsidRDefault="009533D3" w:rsidP="00431885">
            <w:pPr>
              <w:jc w:val="both"/>
              <w:rPr>
                <w:noProof/>
              </w:rPr>
            </w:pPr>
            <w:r>
              <w:rPr>
                <w:noProof/>
              </w:rPr>
              <w:t>3.9</w:t>
            </w:r>
          </w:p>
        </w:tc>
      </w:tr>
      <w:tr w:rsidR="009533D3" w:rsidTr="009533D3">
        <w:tc>
          <w:tcPr>
            <w:tcW w:w="704" w:type="dxa"/>
          </w:tcPr>
          <w:p w:rsidR="009533D3" w:rsidRDefault="009533D3" w:rsidP="00431885">
            <w:pPr>
              <w:jc w:val="both"/>
              <w:rPr>
                <w:noProof/>
              </w:rPr>
            </w:pPr>
            <w:r>
              <w:rPr>
                <w:noProof/>
              </w:rPr>
              <w:t>7.1</w:t>
            </w:r>
          </w:p>
        </w:tc>
      </w:tr>
      <w:tr w:rsidR="009533D3" w:rsidTr="009533D3">
        <w:tc>
          <w:tcPr>
            <w:tcW w:w="704" w:type="dxa"/>
          </w:tcPr>
          <w:p w:rsidR="009533D3" w:rsidRDefault="009533D3" w:rsidP="00431885">
            <w:pPr>
              <w:jc w:val="both"/>
              <w:rPr>
                <w:noProof/>
              </w:rPr>
            </w:pPr>
            <w:r>
              <w:rPr>
                <w:noProof/>
              </w:rPr>
              <w:t>13.6</w:t>
            </w:r>
          </w:p>
        </w:tc>
      </w:tr>
      <w:tr w:rsidR="009533D3" w:rsidTr="009533D3">
        <w:tc>
          <w:tcPr>
            <w:tcW w:w="704" w:type="dxa"/>
          </w:tcPr>
          <w:p w:rsidR="009533D3" w:rsidRDefault="009533D3" w:rsidP="00431885">
            <w:pPr>
              <w:jc w:val="both"/>
              <w:rPr>
                <w:noProof/>
              </w:rPr>
            </w:pPr>
            <w:r>
              <w:rPr>
                <w:noProof/>
              </w:rPr>
              <w:t>23.0</w:t>
            </w:r>
          </w:p>
        </w:tc>
      </w:tr>
      <w:tr w:rsidR="009533D3" w:rsidTr="009533D3">
        <w:tc>
          <w:tcPr>
            <w:tcW w:w="704" w:type="dxa"/>
          </w:tcPr>
          <w:p w:rsidR="009533D3" w:rsidRDefault="009533D3" w:rsidP="00431885">
            <w:pPr>
              <w:jc w:val="both"/>
              <w:rPr>
                <w:noProof/>
              </w:rPr>
            </w:pPr>
            <w:r>
              <w:rPr>
                <w:noProof/>
              </w:rPr>
              <w:t>35.1</w:t>
            </w:r>
          </w:p>
        </w:tc>
      </w:tr>
      <w:tr w:rsidR="009533D3" w:rsidTr="009533D3">
        <w:tc>
          <w:tcPr>
            <w:tcW w:w="704" w:type="dxa"/>
          </w:tcPr>
          <w:p w:rsidR="009533D3" w:rsidRDefault="009533D3" w:rsidP="00431885">
            <w:pPr>
              <w:jc w:val="both"/>
              <w:rPr>
                <w:noProof/>
              </w:rPr>
            </w:pPr>
            <w:r>
              <w:rPr>
                <w:noProof/>
              </w:rPr>
              <w:t>50.7</w:t>
            </w:r>
          </w:p>
        </w:tc>
      </w:tr>
      <w:tr w:rsidR="009533D3" w:rsidTr="009533D3">
        <w:tc>
          <w:tcPr>
            <w:tcW w:w="704" w:type="dxa"/>
          </w:tcPr>
          <w:p w:rsidR="009533D3" w:rsidRDefault="009533D3" w:rsidP="00431885">
            <w:pPr>
              <w:jc w:val="both"/>
              <w:rPr>
                <w:noProof/>
              </w:rPr>
            </w:pPr>
            <w:r>
              <w:rPr>
                <w:noProof/>
              </w:rPr>
              <w:t>70.2</w:t>
            </w:r>
          </w:p>
        </w:tc>
      </w:tr>
      <w:tr w:rsidR="009533D3" w:rsidTr="009533D3">
        <w:tc>
          <w:tcPr>
            <w:tcW w:w="704" w:type="dxa"/>
          </w:tcPr>
          <w:p w:rsidR="009533D3" w:rsidRDefault="009533D3" w:rsidP="00431885">
            <w:pPr>
              <w:jc w:val="both"/>
              <w:rPr>
                <w:noProof/>
              </w:rPr>
            </w:pPr>
            <w:r>
              <w:rPr>
                <w:noProof/>
              </w:rPr>
              <w:t>99.1</w:t>
            </w:r>
          </w:p>
        </w:tc>
      </w:tr>
    </w:tbl>
    <w:p w:rsidR="00C01546" w:rsidRDefault="00C01546" w:rsidP="00431885">
      <w:pPr>
        <w:jc w:val="both"/>
        <w:rPr>
          <w:noProof/>
        </w:rPr>
      </w:pPr>
    </w:p>
    <w:p w:rsidR="00C01546" w:rsidRPr="00414CD1" w:rsidRDefault="00C01546" w:rsidP="00431885">
      <w:pPr>
        <w:jc w:val="both"/>
        <w:rPr>
          <w:noProof/>
        </w:rPr>
      </w:pPr>
    </w:p>
    <w:p w:rsidR="0035732E" w:rsidRDefault="0035732E" w:rsidP="00431885">
      <w:pPr>
        <w:jc w:val="both"/>
        <w:rPr>
          <w:noProof/>
        </w:rPr>
      </w:pPr>
    </w:p>
    <w:p w:rsidR="0035732E" w:rsidRDefault="0035732E" w:rsidP="00431885">
      <w:pPr>
        <w:jc w:val="both"/>
        <w:rPr>
          <w:noProof/>
        </w:rPr>
      </w:pPr>
    </w:p>
    <w:p w:rsidR="00C01546" w:rsidRDefault="00C01546" w:rsidP="00431885">
      <w:pPr>
        <w:jc w:val="both"/>
        <w:rPr>
          <w:noProof/>
        </w:rPr>
      </w:pPr>
    </w:p>
    <w:p w:rsidR="009533D3" w:rsidRDefault="009533D3" w:rsidP="00431885">
      <w:pPr>
        <w:jc w:val="both"/>
        <w:rPr>
          <w:noProof/>
        </w:rPr>
      </w:pPr>
      <w:r>
        <w:rPr>
          <w:noProof/>
        </w:rPr>
        <w:t xml:space="preserve">       Κατ’ αναλογία κανένα δεν εκπλήσσει το γεγονός ότι-δυστυχώς-οι θάνατοι μεταξύ των ανεμβολίαστων είναι </w:t>
      </w:r>
      <w:r w:rsidR="00431885">
        <w:rPr>
          <w:noProof/>
        </w:rPr>
        <w:t xml:space="preserve">από 4-πλάσιοι έως 10-πλάσιοι σε όλο το φάσμα των ηλικιών σε σχέση με τους ήδη εμβολιασμένους (πίνακας 3) </w:t>
      </w:r>
    </w:p>
    <w:tbl>
      <w:tblPr>
        <w:tblStyle w:val="a3"/>
        <w:tblpPr w:leftFromText="180" w:rightFromText="180" w:vertAnchor="text" w:horzAnchor="margin" w:tblpXSpec="center" w:tblpY="632"/>
        <w:tblW w:w="0" w:type="auto"/>
        <w:tblLook w:val="04A0"/>
      </w:tblPr>
      <w:tblGrid>
        <w:gridCol w:w="3539"/>
        <w:gridCol w:w="3402"/>
      </w:tblGrid>
      <w:tr w:rsidR="009533D3" w:rsidTr="009533D3">
        <w:tc>
          <w:tcPr>
            <w:tcW w:w="3539" w:type="dxa"/>
          </w:tcPr>
          <w:p w:rsidR="009533D3" w:rsidRDefault="009533D3" w:rsidP="00431885">
            <w:pPr>
              <w:jc w:val="both"/>
            </w:pPr>
            <w:r>
              <w:t>Συχνότητα μεταξύ εμβολιασθέντων</w:t>
            </w:r>
          </w:p>
          <w:p w:rsidR="009533D3" w:rsidRDefault="009533D3" w:rsidP="00431885">
            <w:pPr>
              <w:jc w:val="both"/>
            </w:pPr>
            <w:r>
              <w:t xml:space="preserve">      με 2  δόσεις (ανά 100.000)</w:t>
            </w:r>
          </w:p>
        </w:tc>
        <w:tc>
          <w:tcPr>
            <w:tcW w:w="3402" w:type="dxa"/>
          </w:tcPr>
          <w:p w:rsidR="009533D3" w:rsidRDefault="009533D3" w:rsidP="00431885">
            <w:pPr>
              <w:jc w:val="both"/>
            </w:pPr>
            <w:r>
              <w:t>Συχνότητα μεταξύ ανεμβολίαστων</w:t>
            </w:r>
          </w:p>
          <w:p w:rsidR="009533D3" w:rsidRDefault="009533D3" w:rsidP="00431885">
            <w:pPr>
              <w:jc w:val="both"/>
            </w:pPr>
            <w:r>
              <w:t xml:space="preserve">                  (ανά 100.000)</w:t>
            </w:r>
          </w:p>
        </w:tc>
      </w:tr>
    </w:tbl>
    <w:p w:rsidR="009533D3" w:rsidRDefault="009533D3" w:rsidP="00431885">
      <w:pPr>
        <w:jc w:val="both"/>
        <w:rPr>
          <w:noProof/>
        </w:rPr>
      </w:pPr>
      <w:r>
        <w:rPr>
          <w:noProof/>
        </w:rPr>
        <w:t xml:space="preserve">     Πίνακας 3</w:t>
      </w:r>
      <w:r w:rsidRPr="00414CD1">
        <w:rPr>
          <w:noProof/>
        </w:rPr>
        <w:t xml:space="preserve">: </w:t>
      </w:r>
      <w:r>
        <w:rPr>
          <w:noProof/>
        </w:rPr>
        <w:t>Συχνότητα θανάτων μετάξύ 36</w:t>
      </w:r>
      <w:r w:rsidRPr="00414CD1">
        <w:rPr>
          <w:noProof/>
          <w:vertAlign w:val="superscript"/>
        </w:rPr>
        <w:t>ης</w:t>
      </w:r>
      <w:r>
        <w:rPr>
          <w:noProof/>
        </w:rPr>
        <w:t>-39</w:t>
      </w:r>
      <w:r w:rsidRPr="00414CD1">
        <w:rPr>
          <w:noProof/>
          <w:vertAlign w:val="superscript"/>
        </w:rPr>
        <w:t>ης</w:t>
      </w:r>
      <w:r>
        <w:rPr>
          <w:noProof/>
        </w:rPr>
        <w:t xml:space="preserve"> εββομάδας 2021 στη Μεγάλη Βρεττανία (Πηγή Εβδομαδιαία αναφορά </w:t>
      </w:r>
      <w:bookmarkStart w:id="6" w:name="_Hlk84934900"/>
      <w:r>
        <w:rPr>
          <w:noProof/>
          <w:lang w:val="en-US"/>
        </w:rPr>
        <w:t>UK</w:t>
      </w:r>
      <w:r w:rsidR="00431885">
        <w:rPr>
          <w:noProof/>
          <w:lang w:val="en-US"/>
        </w:rPr>
        <w:t>H</w:t>
      </w:r>
      <w:r>
        <w:rPr>
          <w:noProof/>
          <w:lang w:val="en-US"/>
        </w:rPr>
        <w:t>ealthSecurityAgency</w:t>
      </w:r>
      <w:bookmarkEnd w:id="6"/>
      <w:r w:rsidRPr="00414CD1">
        <w:rPr>
          <w:noProof/>
        </w:rPr>
        <w:t>)</w:t>
      </w:r>
    </w:p>
    <w:p w:rsidR="009533D3" w:rsidRDefault="009533D3" w:rsidP="00431885">
      <w:pPr>
        <w:jc w:val="both"/>
        <w:rPr>
          <w:noProof/>
        </w:rPr>
      </w:pPr>
    </w:p>
    <w:tbl>
      <w:tblPr>
        <w:tblStyle w:val="a3"/>
        <w:tblpPr w:leftFromText="180" w:rightFromText="180" w:vertAnchor="text" w:horzAnchor="page" w:tblpX="3706" w:tblpY="43"/>
        <w:tblW w:w="0" w:type="auto"/>
        <w:tblLook w:val="04A0"/>
      </w:tblPr>
      <w:tblGrid>
        <w:gridCol w:w="704"/>
      </w:tblGrid>
      <w:tr w:rsidR="009533D3" w:rsidTr="009533D3">
        <w:tc>
          <w:tcPr>
            <w:tcW w:w="704" w:type="dxa"/>
          </w:tcPr>
          <w:p w:rsidR="009533D3" w:rsidRDefault="009533D3" w:rsidP="00431885">
            <w:pPr>
              <w:jc w:val="both"/>
              <w:rPr>
                <w:noProof/>
              </w:rPr>
            </w:pPr>
            <w:r>
              <w:rPr>
                <w:noProof/>
              </w:rPr>
              <w:t>0.0</w:t>
            </w:r>
          </w:p>
        </w:tc>
      </w:tr>
      <w:tr w:rsidR="009533D3" w:rsidTr="009533D3">
        <w:tc>
          <w:tcPr>
            <w:tcW w:w="704" w:type="dxa"/>
          </w:tcPr>
          <w:p w:rsidR="009533D3" w:rsidRDefault="009533D3" w:rsidP="00431885">
            <w:pPr>
              <w:jc w:val="both"/>
              <w:rPr>
                <w:noProof/>
              </w:rPr>
            </w:pPr>
            <w:r>
              <w:rPr>
                <w:noProof/>
              </w:rPr>
              <w:t>0.1</w:t>
            </w:r>
          </w:p>
        </w:tc>
      </w:tr>
      <w:tr w:rsidR="009533D3" w:rsidTr="009533D3">
        <w:tc>
          <w:tcPr>
            <w:tcW w:w="704" w:type="dxa"/>
          </w:tcPr>
          <w:p w:rsidR="009533D3" w:rsidRDefault="009533D3" w:rsidP="00431885">
            <w:pPr>
              <w:jc w:val="both"/>
              <w:rPr>
                <w:noProof/>
              </w:rPr>
            </w:pPr>
            <w:r>
              <w:rPr>
                <w:noProof/>
              </w:rPr>
              <w:t>0.1</w:t>
            </w:r>
          </w:p>
        </w:tc>
      </w:tr>
      <w:tr w:rsidR="009533D3" w:rsidTr="009533D3">
        <w:tc>
          <w:tcPr>
            <w:tcW w:w="704" w:type="dxa"/>
          </w:tcPr>
          <w:p w:rsidR="009533D3" w:rsidRDefault="009533D3" w:rsidP="00431885">
            <w:pPr>
              <w:jc w:val="both"/>
              <w:rPr>
                <w:noProof/>
              </w:rPr>
            </w:pPr>
            <w:r>
              <w:rPr>
                <w:noProof/>
              </w:rPr>
              <w:t>0.4</w:t>
            </w:r>
          </w:p>
        </w:tc>
      </w:tr>
      <w:tr w:rsidR="009533D3" w:rsidTr="009533D3">
        <w:tc>
          <w:tcPr>
            <w:tcW w:w="704" w:type="dxa"/>
          </w:tcPr>
          <w:p w:rsidR="009533D3" w:rsidRDefault="009533D3" w:rsidP="00431885">
            <w:pPr>
              <w:jc w:val="both"/>
              <w:rPr>
                <w:noProof/>
              </w:rPr>
            </w:pPr>
            <w:r>
              <w:rPr>
                <w:noProof/>
              </w:rPr>
              <w:t>1.5</w:t>
            </w:r>
          </w:p>
        </w:tc>
      </w:tr>
      <w:tr w:rsidR="009533D3" w:rsidTr="009533D3">
        <w:tc>
          <w:tcPr>
            <w:tcW w:w="704" w:type="dxa"/>
          </w:tcPr>
          <w:p w:rsidR="009533D3" w:rsidRDefault="009533D3" w:rsidP="00431885">
            <w:pPr>
              <w:jc w:val="both"/>
              <w:rPr>
                <w:noProof/>
              </w:rPr>
            </w:pPr>
            <w:r>
              <w:rPr>
                <w:noProof/>
              </w:rPr>
              <w:t>4.8</w:t>
            </w:r>
          </w:p>
        </w:tc>
      </w:tr>
      <w:tr w:rsidR="009533D3" w:rsidTr="009533D3">
        <w:tc>
          <w:tcPr>
            <w:tcW w:w="704" w:type="dxa"/>
          </w:tcPr>
          <w:p w:rsidR="009533D3" w:rsidRDefault="009533D3" w:rsidP="00431885">
            <w:pPr>
              <w:jc w:val="both"/>
              <w:rPr>
                <w:noProof/>
              </w:rPr>
            </w:pPr>
            <w:r>
              <w:rPr>
                <w:noProof/>
              </w:rPr>
              <w:t>13.7</w:t>
            </w:r>
          </w:p>
        </w:tc>
      </w:tr>
      <w:tr w:rsidR="009533D3" w:rsidTr="009533D3">
        <w:tc>
          <w:tcPr>
            <w:tcW w:w="704" w:type="dxa"/>
          </w:tcPr>
          <w:p w:rsidR="009533D3" w:rsidRDefault="009533D3" w:rsidP="00431885">
            <w:pPr>
              <w:jc w:val="both"/>
              <w:rPr>
                <w:noProof/>
              </w:rPr>
            </w:pPr>
            <w:r>
              <w:rPr>
                <w:noProof/>
              </w:rPr>
              <w:t>48.1</w:t>
            </w:r>
          </w:p>
        </w:tc>
      </w:tr>
    </w:tbl>
    <w:tbl>
      <w:tblPr>
        <w:tblStyle w:val="a3"/>
        <w:tblpPr w:leftFromText="180" w:rightFromText="180" w:vertAnchor="text" w:horzAnchor="margin" w:tblpXSpec="center" w:tblpY="-2"/>
        <w:tblW w:w="0" w:type="auto"/>
        <w:tblLook w:val="04A0"/>
      </w:tblPr>
      <w:tblGrid>
        <w:gridCol w:w="1135"/>
      </w:tblGrid>
      <w:tr w:rsidR="009533D3" w:rsidTr="009533D3">
        <w:tc>
          <w:tcPr>
            <w:tcW w:w="1135" w:type="dxa"/>
          </w:tcPr>
          <w:p w:rsidR="009533D3" w:rsidRDefault="009533D3" w:rsidP="00431885">
            <w:pPr>
              <w:jc w:val="both"/>
              <w:rPr>
                <w:noProof/>
              </w:rPr>
            </w:pPr>
            <w:r>
              <w:rPr>
                <w:noProof/>
              </w:rPr>
              <w:t>&lt;18</w:t>
            </w:r>
          </w:p>
        </w:tc>
      </w:tr>
      <w:tr w:rsidR="009533D3" w:rsidTr="009533D3">
        <w:tc>
          <w:tcPr>
            <w:tcW w:w="1135" w:type="dxa"/>
          </w:tcPr>
          <w:p w:rsidR="009533D3" w:rsidRDefault="009533D3" w:rsidP="00431885">
            <w:pPr>
              <w:jc w:val="both"/>
              <w:rPr>
                <w:noProof/>
              </w:rPr>
            </w:pPr>
            <w:r>
              <w:rPr>
                <w:noProof/>
              </w:rPr>
              <w:t xml:space="preserve">  18-29</w:t>
            </w:r>
          </w:p>
        </w:tc>
      </w:tr>
      <w:tr w:rsidR="009533D3" w:rsidTr="009533D3">
        <w:tc>
          <w:tcPr>
            <w:tcW w:w="1135" w:type="dxa"/>
          </w:tcPr>
          <w:p w:rsidR="009533D3" w:rsidRDefault="009533D3" w:rsidP="00431885">
            <w:pPr>
              <w:jc w:val="both"/>
              <w:rPr>
                <w:noProof/>
              </w:rPr>
            </w:pPr>
            <w:r>
              <w:rPr>
                <w:noProof/>
              </w:rPr>
              <w:t xml:space="preserve">  30-39</w:t>
            </w:r>
          </w:p>
        </w:tc>
      </w:tr>
      <w:tr w:rsidR="009533D3" w:rsidTr="009533D3">
        <w:tc>
          <w:tcPr>
            <w:tcW w:w="1135" w:type="dxa"/>
          </w:tcPr>
          <w:p w:rsidR="009533D3" w:rsidRDefault="009533D3" w:rsidP="00431885">
            <w:pPr>
              <w:jc w:val="both"/>
              <w:rPr>
                <w:noProof/>
              </w:rPr>
            </w:pPr>
            <w:r>
              <w:rPr>
                <w:noProof/>
              </w:rPr>
              <w:t xml:space="preserve">  40-49</w:t>
            </w:r>
          </w:p>
        </w:tc>
      </w:tr>
      <w:tr w:rsidR="009533D3" w:rsidTr="009533D3">
        <w:tc>
          <w:tcPr>
            <w:tcW w:w="1135" w:type="dxa"/>
          </w:tcPr>
          <w:p w:rsidR="009533D3" w:rsidRDefault="009533D3" w:rsidP="00431885">
            <w:pPr>
              <w:jc w:val="both"/>
              <w:rPr>
                <w:noProof/>
              </w:rPr>
            </w:pPr>
            <w:r>
              <w:rPr>
                <w:noProof/>
              </w:rPr>
              <w:t xml:space="preserve">  50-59</w:t>
            </w:r>
          </w:p>
        </w:tc>
      </w:tr>
      <w:tr w:rsidR="009533D3" w:rsidTr="009533D3">
        <w:tc>
          <w:tcPr>
            <w:tcW w:w="1135" w:type="dxa"/>
          </w:tcPr>
          <w:p w:rsidR="009533D3" w:rsidRDefault="009533D3" w:rsidP="00431885">
            <w:pPr>
              <w:jc w:val="both"/>
              <w:rPr>
                <w:noProof/>
              </w:rPr>
            </w:pPr>
            <w:r>
              <w:rPr>
                <w:noProof/>
              </w:rPr>
              <w:t xml:space="preserve">  60-69</w:t>
            </w:r>
          </w:p>
        </w:tc>
      </w:tr>
      <w:tr w:rsidR="009533D3" w:rsidTr="009533D3">
        <w:tc>
          <w:tcPr>
            <w:tcW w:w="1135" w:type="dxa"/>
          </w:tcPr>
          <w:p w:rsidR="009533D3" w:rsidRDefault="009533D3" w:rsidP="00431885">
            <w:pPr>
              <w:jc w:val="both"/>
              <w:rPr>
                <w:noProof/>
              </w:rPr>
            </w:pPr>
            <w:r>
              <w:rPr>
                <w:noProof/>
              </w:rPr>
              <w:t xml:space="preserve">  70-79</w:t>
            </w:r>
          </w:p>
        </w:tc>
      </w:tr>
      <w:tr w:rsidR="009533D3" w:rsidTr="009533D3">
        <w:tc>
          <w:tcPr>
            <w:tcW w:w="1135" w:type="dxa"/>
          </w:tcPr>
          <w:p w:rsidR="009533D3" w:rsidRDefault="009533D3" w:rsidP="00431885">
            <w:pPr>
              <w:jc w:val="both"/>
              <w:rPr>
                <w:noProof/>
              </w:rPr>
            </w:pPr>
            <w:r>
              <w:rPr>
                <w:noProof/>
              </w:rPr>
              <w:t xml:space="preserve">  80-89</w:t>
            </w:r>
          </w:p>
        </w:tc>
      </w:tr>
    </w:tbl>
    <w:tbl>
      <w:tblPr>
        <w:tblStyle w:val="a3"/>
        <w:tblpPr w:leftFromText="180" w:rightFromText="180" w:vertAnchor="text" w:horzAnchor="page" w:tblpX="7336" w:tblpY="43"/>
        <w:tblW w:w="0" w:type="auto"/>
        <w:tblLook w:val="04A0"/>
      </w:tblPr>
      <w:tblGrid>
        <w:gridCol w:w="718"/>
      </w:tblGrid>
      <w:tr w:rsidR="009533D3" w:rsidTr="009533D3">
        <w:tc>
          <w:tcPr>
            <w:tcW w:w="704" w:type="dxa"/>
          </w:tcPr>
          <w:p w:rsidR="009533D3" w:rsidRDefault="009533D3" w:rsidP="00431885">
            <w:pPr>
              <w:jc w:val="both"/>
              <w:rPr>
                <w:noProof/>
              </w:rPr>
            </w:pPr>
            <w:r>
              <w:rPr>
                <w:noProof/>
              </w:rPr>
              <w:t>0.0</w:t>
            </w:r>
          </w:p>
        </w:tc>
      </w:tr>
      <w:tr w:rsidR="009533D3" w:rsidTr="009533D3">
        <w:tc>
          <w:tcPr>
            <w:tcW w:w="704" w:type="dxa"/>
          </w:tcPr>
          <w:p w:rsidR="009533D3" w:rsidRDefault="009533D3" w:rsidP="00431885">
            <w:pPr>
              <w:jc w:val="both"/>
              <w:rPr>
                <w:noProof/>
              </w:rPr>
            </w:pPr>
            <w:r>
              <w:rPr>
                <w:noProof/>
              </w:rPr>
              <w:t>0.4</w:t>
            </w:r>
          </w:p>
        </w:tc>
      </w:tr>
      <w:tr w:rsidR="009533D3" w:rsidTr="009533D3">
        <w:tc>
          <w:tcPr>
            <w:tcW w:w="704" w:type="dxa"/>
          </w:tcPr>
          <w:p w:rsidR="009533D3" w:rsidRDefault="009533D3" w:rsidP="00431885">
            <w:pPr>
              <w:jc w:val="both"/>
              <w:rPr>
                <w:noProof/>
              </w:rPr>
            </w:pPr>
            <w:r>
              <w:rPr>
                <w:noProof/>
              </w:rPr>
              <w:t>1.0</w:t>
            </w:r>
          </w:p>
        </w:tc>
      </w:tr>
      <w:tr w:rsidR="009533D3" w:rsidTr="009533D3">
        <w:tc>
          <w:tcPr>
            <w:tcW w:w="704" w:type="dxa"/>
          </w:tcPr>
          <w:p w:rsidR="009533D3" w:rsidRDefault="009533D3" w:rsidP="00431885">
            <w:pPr>
              <w:jc w:val="both"/>
              <w:rPr>
                <w:noProof/>
              </w:rPr>
            </w:pPr>
            <w:r>
              <w:rPr>
                <w:noProof/>
              </w:rPr>
              <w:t>2.7</w:t>
            </w:r>
          </w:p>
        </w:tc>
      </w:tr>
      <w:tr w:rsidR="009533D3" w:rsidTr="009533D3">
        <w:tc>
          <w:tcPr>
            <w:tcW w:w="704" w:type="dxa"/>
          </w:tcPr>
          <w:p w:rsidR="009533D3" w:rsidRDefault="009533D3" w:rsidP="00431885">
            <w:pPr>
              <w:jc w:val="both"/>
              <w:rPr>
                <w:noProof/>
              </w:rPr>
            </w:pPr>
            <w:r>
              <w:rPr>
                <w:noProof/>
              </w:rPr>
              <w:t>11.0</w:t>
            </w:r>
          </w:p>
        </w:tc>
      </w:tr>
      <w:tr w:rsidR="009533D3" w:rsidTr="009533D3">
        <w:tc>
          <w:tcPr>
            <w:tcW w:w="704" w:type="dxa"/>
          </w:tcPr>
          <w:p w:rsidR="009533D3" w:rsidRDefault="009533D3" w:rsidP="00431885">
            <w:pPr>
              <w:jc w:val="both"/>
              <w:rPr>
                <w:noProof/>
              </w:rPr>
            </w:pPr>
            <w:r>
              <w:rPr>
                <w:noProof/>
              </w:rPr>
              <w:t>21.1</w:t>
            </w:r>
          </w:p>
        </w:tc>
      </w:tr>
      <w:tr w:rsidR="009533D3" w:rsidTr="009533D3">
        <w:tc>
          <w:tcPr>
            <w:tcW w:w="704" w:type="dxa"/>
          </w:tcPr>
          <w:p w:rsidR="009533D3" w:rsidRDefault="009533D3" w:rsidP="00431885">
            <w:pPr>
              <w:jc w:val="both"/>
              <w:rPr>
                <w:noProof/>
              </w:rPr>
            </w:pPr>
            <w:r>
              <w:rPr>
                <w:noProof/>
              </w:rPr>
              <w:t>51.6</w:t>
            </w:r>
          </w:p>
        </w:tc>
      </w:tr>
      <w:tr w:rsidR="009533D3" w:rsidTr="009533D3">
        <w:tc>
          <w:tcPr>
            <w:tcW w:w="704" w:type="dxa"/>
          </w:tcPr>
          <w:p w:rsidR="009533D3" w:rsidRDefault="009533D3" w:rsidP="00431885">
            <w:pPr>
              <w:jc w:val="both"/>
              <w:rPr>
                <w:noProof/>
              </w:rPr>
            </w:pPr>
            <w:r>
              <w:rPr>
                <w:noProof/>
              </w:rPr>
              <w:t>133.2</w:t>
            </w:r>
          </w:p>
        </w:tc>
      </w:tr>
    </w:tbl>
    <w:p w:rsidR="00414CD1" w:rsidRDefault="00414CD1" w:rsidP="00431885">
      <w:pPr>
        <w:jc w:val="both"/>
        <w:rPr>
          <w:noProof/>
        </w:rPr>
      </w:pPr>
    </w:p>
    <w:p w:rsidR="00414CD1" w:rsidRDefault="00414CD1" w:rsidP="00431885">
      <w:pPr>
        <w:jc w:val="both"/>
        <w:rPr>
          <w:noProof/>
        </w:rPr>
      </w:pPr>
    </w:p>
    <w:p w:rsidR="00414CD1" w:rsidRDefault="00414CD1" w:rsidP="00431885">
      <w:pPr>
        <w:jc w:val="both"/>
        <w:rPr>
          <w:noProof/>
        </w:rPr>
      </w:pPr>
    </w:p>
    <w:p w:rsidR="00414CD1" w:rsidRDefault="00414CD1" w:rsidP="00431885">
      <w:pPr>
        <w:jc w:val="both"/>
        <w:rPr>
          <w:noProof/>
        </w:rPr>
      </w:pPr>
    </w:p>
    <w:p w:rsidR="00C45BF1" w:rsidRDefault="00C45BF1" w:rsidP="00431885">
      <w:pPr>
        <w:jc w:val="both"/>
      </w:pPr>
    </w:p>
    <w:p w:rsidR="00C45BF1" w:rsidRDefault="00C45BF1" w:rsidP="00431885">
      <w:pPr>
        <w:jc w:val="both"/>
      </w:pPr>
    </w:p>
    <w:p w:rsidR="00104267" w:rsidRDefault="00104267" w:rsidP="00431885">
      <w:pPr>
        <w:jc w:val="both"/>
      </w:pPr>
      <w:r>
        <w:t xml:space="preserve">Η εβδομαδιαία αναφορά του </w:t>
      </w:r>
      <w:r>
        <w:rPr>
          <w:noProof/>
          <w:lang w:val="en-US"/>
        </w:rPr>
        <w:t>UK</w:t>
      </w:r>
      <w:r>
        <w:rPr>
          <w:noProof/>
        </w:rPr>
        <w:t>Η</w:t>
      </w:r>
      <w:r>
        <w:rPr>
          <w:noProof/>
          <w:lang w:val="en-US"/>
        </w:rPr>
        <w:t>ealthSecurityAgency</w:t>
      </w:r>
      <w:r>
        <w:rPr>
          <w:noProof/>
        </w:rPr>
        <w:t xml:space="preserve"> τελειώνει με την επισήμανση ότι το εμβολιαστικό τους πρόγραμμα έχει αποτρέψει </w:t>
      </w:r>
      <w:r w:rsidR="001A2CB0">
        <w:rPr>
          <w:noProof/>
        </w:rPr>
        <w:t xml:space="preserve">261.500 νοσηλείες σε άτομα ηλικίας άνω των 45 ετών και συνολικά </w:t>
      </w:r>
      <w:r>
        <w:rPr>
          <w:noProof/>
        </w:rPr>
        <w:t xml:space="preserve">127.500 επιπλέον θανάτους και 24.144.000 μολύνσεις. </w:t>
      </w:r>
      <w:r>
        <w:t xml:space="preserve"> Το ουσιώδες αυτό συμπέρασμα και τη παράθεση των 2 τελευταίων πινάκων που αναιρούν εντελώς την αρχική εντύπωση και αποκαθιστούν την επιστημονική αλήθεια δεν θα τα βρείτε φυσικά στα σχόλια και τις αναρτήσεις των φιλικών προς το αντιεμβολιαστικό κίνημα ΜΜΕ. Σε χώρες όπως η Μεγάλη Βρετανία και η Ελλάδα που το ποσοστό των πλήρως εμβολιασμένων ξεπερνά το </w:t>
      </w:r>
      <w:r w:rsidR="00307C79">
        <w:t>65</w:t>
      </w:r>
      <w:r w:rsidR="00A10566">
        <w:t>-70</w:t>
      </w:r>
      <w:r>
        <w:t>%, είναι αναμενόμενο να εμφανίζονται σταδιακά και κρούσματα μεταξύ των πλήρως εμβολιασμένων. Ο ιός έχει τα δικά του όπλα (μεταλλάξεις) και με αυτά χτυπά προς κάθε κατεύθυνση, εμβολιασμένους και ανεμβολίαστους. Σε όσους έχουμε ήδη εκμεταλλευθεί την ευεργετική δράση του εμβολιασμού, είτε παραμένοντας υγιείς η έχοντας νοσήσει χωρίς σοβαρά προβλήματα, ας κάνουμε το αυτονόητο. Να κλείσουμε σήμερα το ραντεβού μας για τη 3</w:t>
      </w:r>
      <w:r w:rsidRPr="00104267">
        <w:rPr>
          <w:vertAlign w:val="superscript"/>
        </w:rPr>
        <w:t>η</w:t>
      </w:r>
      <w:r>
        <w:t xml:space="preserve"> επαναληπτική δόση.</w:t>
      </w:r>
    </w:p>
    <w:p w:rsidR="00104267" w:rsidRDefault="00104267" w:rsidP="00431885">
      <w:pPr>
        <w:jc w:val="both"/>
      </w:pPr>
    </w:p>
    <w:p w:rsidR="00104267" w:rsidRDefault="00104267" w:rsidP="00431885">
      <w:pPr>
        <w:jc w:val="both"/>
      </w:pPr>
      <w:r>
        <w:lastRenderedPageBreak/>
        <w:t xml:space="preserve">                                                    Χριστόφορος Δ. Ολύμπιος</w:t>
      </w:r>
    </w:p>
    <w:p w:rsidR="00104267" w:rsidRDefault="00104267" w:rsidP="00431885">
      <w:pPr>
        <w:jc w:val="both"/>
      </w:pPr>
      <w:r>
        <w:t xml:space="preserve">                                Συντονιστής Διευθυντής Καρδιολογικού Τμήματος </w:t>
      </w:r>
    </w:p>
    <w:p w:rsidR="00104267" w:rsidRDefault="00104267" w:rsidP="00431885">
      <w:pPr>
        <w:jc w:val="both"/>
      </w:pPr>
      <w:r>
        <w:t xml:space="preserve">                   Εθελοντής Ιατρός Εμβολιαστικού Κέντρου Γ.Ν. Ελευσίνας «Θριάσιο» </w:t>
      </w:r>
    </w:p>
    <w:p w:rsidR="009A260B" w:rsidRDefault="009A260B" w:rsidP="00431885">
      <w:pPr>
        <w:jc w:val="both"/>
      </w:pPr>
    </w:p>
    <w:p w:rsidR="00E07506" w:rsidRPr="009A260B" w:rsidRDefault="009A260B" w:rsidP="00431885">
      <w:pPr>
        <w:jc w:val="both"/>
        <w:rPr>
          <w:lang w:val="en-US"/>
        </w:rPr>
      </w:pPr>
      <w:r>
        <w:t>Πηγή</w:t>
      </w:r>
      <w:r>
        <w:rPr>
          <w:lang w:val="en-US"/>
        </w:rPr>
        <w:t xml:space="preserve">: </w:t>
      </w:r>
      <w:r>
        <w:rPr>
          <w:noProof/>
          <w:lang w:val="en-US"/>
        </w:rPr>
        <w:t>UKHealthSecurityAgency. COVID-19 vaccine surveillanve report, Week 40.</w:t>
      </w:r>
    </w:p>
    <w:sectPr w:rsidR="00E07506" w:rsidRPr="009A260B" w:rsidSect="008A0F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1257"/>
    <w:rsid w:val="00104267"/>
    <w:rsid w:val="001A2CB0"/>
    <w:rsid w:val="001F1257"/>
    <w:rsid w:val="0025162F"/>
    <w:rsid w:val="002B3F2C"/>
    <w:rsid w:val="00307C79"/>
    <w:rsid w:val="00316984"/>
    <w:rsid w:val="0035732E"/>
    <w:rsid w:val="00414CD1"/>
    <w:rsid w:val="00431885"/>
    <w:rsid w:val="0050590A"/>
    <w:rsid w:val="00881F7D"/>
    <w:rsid w:val="008A0F39"/>
    <w:rsid w:val="009533D3"/>
    <w:rsid w:val="009A260B"/>
    <w:rsid w:val="00A10566"/>
    <w:rsid w:val="00B03B67"/>
    <w:rsid w:val="00BC62B3"/>
    <w:rsid w:val="00C01546"/>
    <w:rsid w:val="00C45BF1"/>
    <w:rsid w:val="00C80DF3"/>
    <w:rsid w:val="00CD2C5D"/>
    <w:rsid w:val="00E07506"/>
    <w:rsid w:val="00FE0D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864-55DF-4D85-92E5-C9A68A85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OLYMPIOS</dc:creator>
  <cp:lastModifiedBy>cardiosurgram1</cp:lastModifiedBy>
  <cp:revision>2</cp:revision>
  <dcterms:created xsi:type="dcterms:W3CDTF">2021-11-15T11:25:00Z</dcterms:created>
  <dcterms:modified xsi:type="dcterms:W3CDTF">2021-11-15T11:25:00Z</dcterms:modified>
</cp:coreProperties>
</file>